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80383" w:rsidRPr="00DA4726" w:rsidRDefault="00C92ED1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Полномочия переданы централизованной бухгалтерии </w:t>
            </w:r>
            <w:r w:rsidR="008B0D78"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 договор №</w:t>
            </w:r>
            <w:r w:rsidR="00885012"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117</w:t>
            </w:r>
            <w:r w:rsidR="008B0D78"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</w:p>
          <w:p w:rsidR="00C92ED1" w:rsidRPr="007E75D6" w:rsidRDefault="008B0D78" w:rsidP="008B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</w:t>
            </w:r>
            <w:r w:rsidR="00885012"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01 января 2019 г</w:t>
            </w:r>
            <w:r w:rsidR="00C92ED1" w:rsidRPr="00DA472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  <w:r w:rsidR="00DA4726">
              <w:rPr>
                <w:rFonts w:ascii="Times New Roman" w:hAnsi="Times New Roman" w:cs="Times New Roman"/>
              </w:rPr>
              <w:t xml:space="preserve"> </w:t>
            </w:r>
            <w:r w:rsidR="00DA4726" w:rsidRPr="00DA4726">
              <w:rPr>
                <w:rFonts w:ascii="Times New Roman" w:hAnsi="Times New Roman" w:cs="Times New Roman"/>
                <w:shd w:val="clear" w:color="auto" w:fill="FFFFFF"/>
              </w:rPr>
              <w:t xml:space="preserve">(с учетом изменений, внесенных в </w:t>
            </w:r>
            <w:r w:rsidR="00DA4726" w:rsidRPr="00DA4726">
              <w:rPr>
                <w:rFonts w:ascii="Times New Roman" w:hAnsi="Times New Roman" w:cs="Times New Roman"/>
              </w:rPr>
              <w:t>дополнительное соглашение №1 от 09.01.2020 г.)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686863"/>
    <w:rsid w:val="0069294F"/>
    <w:rsid w:val="00773739"/>
    <w:rsid w:val="00780383"/>
    <w:rsid w:val="00885012"/>
    <w:rsid w:val="008B0D78"/>
    <w:rsid w:val="00C92ED1"/>
    <w:rsid w:val="00CA3208"/>
    <w:rsid w:val="00DA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2021-03-18T08:12:00Z</dcterms:created>
  <dcterms:modified xsi:type="dcterms:W3CDTF">2023-01-23T08:41:00Z</dcterms:modified>
</cp:coreProperties>
</file>